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B16769B" w:rsidR="00F92268" w:rsidRPr="00FF66BF" w:rsidRDefault="00D25CC7" w:rsidP="00F246C7">
            <w:pPr>
              <w:pStyle w:val="RefTableHeader"/>
            </w:pPr>
            <w:r w:rsidRPr="00D25CC7">
              <w:t>1836-A</w:t>
            </w:r>
          </w:p>
        </w:tc>
      </w:tr>
    </w:tbl>
    <w:p w14:paraId="74FBA5B4" w14:textId="77777777" w:rsidR="00051356" w:rsidRDefault="00051356" w:rsidP="00A672B3">
      <w:pPr>
        <w:pStyle w:val="BodyText"/>
        <w:rPr>
          <w:b/>
          <w:bCs/>
          <w:sz w:val="16"/>
          <w:szCs w:val="16"/>
        </w:rPr>
        <w:sectPr w:rsidR="00051356" w:rsidSect="00C82FE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7DAC095" w:rsidR="004B15BB" w:rsidRPr="00BD1CC1" w:rsidRDefault="00D25CC7" w:rsidP="00D25CC7">
      <w:pPr>
        <w:pStyle w:val="Heading1"/>
      </w:pPr>
      <w:r w:rsidRPr="00D25CC7">
        <w:t>Specialty Guideline Management</w:t>
      </w:r>
      <w:r w:rsidR="008C54D9" w:rsidRPr="00BD1CC1">
        <w:br/>
      </w:r>
      <w:r w:rsidRPr="00834ECA">
        <w:t>dalfampridine</w:t>
      </w:r>
      <w:r w:rsidR="005F622C" w:rsidRPr="00834ECA">
        <w:t xml:space="preserve"> </w:t>
      </w:r>
      <w:r w:rsidR="00834ECA" w:rsidRPr="00834ECA">
        <w:t>- Ampyra</w:t>
      </w:r>
    </w:p>
    <w:p w14:paraId="5080FA7F" w14:textId="01EB2E98" w:rsidR="003D3094" w:rsidRPr="00BD1CC1" w:rsidRDefault="003D3094" w:rsidP="003D3094">
      <w:pPr>
        <w:pStyle w:val="Heading2"/>
      </w:pPr>
      <w:r w:rsidRPr="00BD1CC1">
        <w:t>Products Referenced by this Document</w:t>
      </w:r>
    </w:p>
    <w:p w14:paraId="7F16BA91" w14:textId="1750F775" w:rsidR="003D3094" w:rsidRPr="00BD1CC1" w:rsidRDefault="003D3094" w:rsidP="003D3094">
      <w:pPr>
        <w:pStyle w:val="BodyText"/>
      </w:pPr>
      <w:r w:rsidRPr="00BD1CC1">
        <w:t xml:space="preserve">Drugs that are listed in the following table include both brand and generic and all dosage forms and strengths unless otherwise stated. </w:t>
      </w:r>
      <w:r w:rsidR="00F81136">
        <w:t>Over</w:t>
      </w:r>
      <w:r w:rsidR="00834ECA">
        <w:t>-</w:t>
      </w:r>
      <w:r w:rsidR="00F81136">
        <w:t>the</w:t>
      </w:r>
      <w:r w:rsidR="00834ECA">
        <w:t>-</w:t>
      </w:r>
      <w:r w:rsidR="00F81136">
        <w:t>counter (</w:t>
      </w:r>
      <w:r w:rsidRPr="00BD1CC1">
        <w:t>OTC</w:t>
      </w:r>
      <w:r w:rsidR="00F81136">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3D3094" w:rsidRPr="00BD1CC1" w14:paraId="3F896111" w14:textId="77777777" w:rsidTr="002F4893">
        <w:trPr>
          <w:cantSplit/>
          <w:trHeight w:val="288"/>
          <w:tblHeader/>
        </w:trPr>
        <w:tc>
          <w:tcPr>
            <w:tcW w:w="5265" w:type="dxa"/>
            <w:vAlign w:val="center"/>
          </w:tcPr>
          <w:p w14:paraId="2600441D" w14:textId="77777777" w:rsidR="003D3094" w:rsidRPr="00BD1CC1" w:rsidRDefault="003D3094" w:rsidP="002F4893">
            <w:pPr>
              <w:pStyle w:val="TableHeader"/>
            </w:pPr>
            <w:bookmarkStart w:id="0" w:name="_Hlk159603270"/>
            <w:r w:rsidRPr="00BD1CC1">
              <w:t>Brand Name</w:t>
            </w:r>
          </w:p>
        </w:tc>
        <w:tc>
          <w:tcPr>
            <w:tcW w:w="5595" w:type="dxa"/>
            <w:vAlign w:val="center"/>
          </w:tcPr>
          <w:p w14:paraId="7341D4B0" w14:textId="77777777" w:rsidR="003D3094" w:rsidRPr="00BD1CC1" w:rsidRDefault="003D3094" w:rsidP="002F4893">
            <w:pPr>
              <w:pStyle w:val="TableHeader"/>
            </w:pPr>
            <w:r w:rsidRPr="00BD1CC1">
              <w:t>Generic Name</w:t>
            </w:r>
          </w:p>
        </w:tc>
      </w:tr>
      <w:tr w:rsidR="003D3094" w:rsidRPr="00BD1CC1" w14:paraId="79184BC5" w14:textId="77777777" w:rsidTr="002F4893">
        <w:trPr>
          <w:cantSplit/>
        </w:trPr>
        <w:tc>
          <w:tcPr>
            <w:tcW w:w="5265" w:type="dxa"/>
          </w:tcPr>
          <w:p w14:paraId="145DB035" w14:textId="3F119818" w:rsidR="003D3094" w:rsidRPr="00BD1CC1" w:rsidRDefault="00956971" w:rsidP="002F4893">
            <w:pPr>
              <w:pStyle w:val="TableDataUnpadded"/>
            </w:pPr>
            <w:r w:rsidRPr="00956971">
              <w:t>Ampyra</w:t>
            </w:r>
          </w:p>
        </w:tc>
        <w:tc>
          <w:tcPr>
            <w:tcW w:w="5595" w:type="dxa"/>
          </w:tcPr>
          <w:p w14:paraId="693D8B5D" w14:textId="221CD97F" w:rsidR="003D3094" w:rsidRPr="00BD1CC1" w:rsidRDefault="00956971" w:rsidP="002F4893">
            <w:pPr>
              <w:pStyle w:val="TableDataUnpadded"/>
            </w:pPr>
            <w:r w:rsidRPr="00956971">
              <w:t>dalfampridine</w:t>
            </w:r>
          </w:p>
        </w:tc>
      </w:tr>
      <w:tr w:rsidR="003D3094" w:rsidRPr="00BD1CC1" w14:paraId="12C8CF3F" w14:textId="77777777" w:rsidTr="002F4893">
        <w:trPr>
          <w:cantSplit/>
        </w:trPr>
        <w:tc>
          <w:tcPr>
            <w:tcW w:w="5265" w:type="dxa"/>
          </w:tcPr>
          <w:p w14:paraId="341FAE5E" w14:textId="13B05098" w:rsidR="003D3094" w:rsidRPr="00BD1CC1" w:rsidRDefault="003E7605" w:rsidP="002F4893">
            <w:pPr>
              <w:pStyle w:val="TableDataUnpadded"/>
            </w:pPr>
            <w:r>
              <w:t>d</w:t>
            </w:r>
            <w:r w:rsidR="00956971" w:rsidRPr="00956971">
              <w:t>alfampridine</w:t>
            </w:r>
            <w:r>
              <w:t xml:space="preserve"> </w:t>
            </w:r>
            <w:r w:rsidRPr="003E7605">
              <w:t>(all other brands)</w:t>
            </w:r>
          </w:p>
        </w:tc>
        <w:tc>
          <w:tcPr>
            <w:tcW w:w="5595" w:type="dxa"/>
          </w:tcPr>
          <w:p w14:paraId="3E7111E8" w14:textId="37CF39F9" w:rsidR="003D3094" w:rsidRPr="00BD1CC1" w:rsidRDefault="00956971" w:rsidP="002F4893">
            <w:pPr>
              <w:pStyle w:val="TableDataUnpadded"/>
            </w:pPr>
            <w:r w:rsidRPr="00956971">
              <w:t>dalfampridine</w:t>
            </w:r>
          </w:p>
        </w:tc>
      </w:tr>
    </w:tbl>
    <w:bookmarkEnd w:id="0"/>
    <w:p w14:paraId="14CE6108" w14:textId="3BBA7A71" w:rsidR="00FC1AAD" w:rsidRDefault="00ED052F" w:rsidP="00AA2A94">
      <w:pPr>
        <w:pStyle w:val="Heading2"/>
        <w:tabs>
          <w:tab w:val="left" w:pos="9540"/>
        </w:tabs>
      </w:pPr>
      <w:r>
        <w:t>Indications</w:t>
      </w:r>
    </w:p>
    <w:p w14:paraId="6DA585E7" w14:textId="01B9738C" w:rsidR="00D25CC7" w:rsidRPr="00D25CC7" w:rsidRDefault="00D25CC7" w:rsidP="00D25CC7">
      <w:pPr>
        <w:pStyle w:val="BodyText"/>
      </w:pPr>
      <w:r w:rsidRPr="00D25CC7">
        <w:t>The indications below including FDA-approved indications and compendial uses are considered a covered benefit provided that all the approval criteria are met and the member has no exclusions to the prescribed therapy.</w:t>
      </w:r>
    </w:p>
    <w:p w14:paraId="134B5687" w14:textId="543916D1" w:rsidR="00ED052F" w:rsidRDefault="00ED052F" w:rsidP="00ED052F">
      <w:pPr>
        <w:pStyle w:val="Heading3"/>
        <w:keepNext w:val="0"/>
      </w:pPr>
      <w:r w:rsidRPr="00BD1CC1">
        <w:t>FDA-</w:t>
      </w:r>
      <w:r w:rsidR="00C50415">
        <w:t>A</w:t>
      </w:r>
      <w:r w:rsidRPr="00BD1CC1">
        <w:t>pproved Indications</w:t>
      </w:r>
      <w:r w:rsidR="00D25CC7" w:rsidRPr="00C50415">
        <w:rPr>
          <w:vertAlign w:val="superscript"/>
        </w:rPr>
        <w:t>1-2</w:t>
      </w:r>
    </w:p>
    <w:p w14:paraId="6EC03D38" w14:textId="77777777" w:rsidR="00D25CC7" w:rsidRDefault="00D25CC7" w:rsidP="00D25CC7">
      <w:pPr>
        <w:pStyle w:val="BodyText"/>
      </w:pPr>
      <w:r>
        <w:t>Indicated as a treatment to improve walking in adult patients with multiple sclerosis. This was demonstrated by an increase in walking speed.</w:t>
      </w:r>
    </w:p>
    <w:p w14:paraId="077CF1F8" w14:textId="7FDB3217" w:rsidR="00D25CC7" w:rsidRPr="00D25CC7" w:rsidRDefault="00D25CC7" w:rsidP="00D25CC7">
      <w:pPr>
        <w:pStyle w:val="BodyText"/>
      </w:pPr>
      <w:r>
        <w:t>All other indications are considered experimental/investigational and are not medically necessary.</w:t>
      </w:r>
    </w:p>
    <w:p w14:paraId="50A38FBA" w14:textId="2F947D58" w:rsidR="00FE0C63" w:rsidRDefault="00685107" w:rsidP="00E050E1">
      <w:pPr>
        <w:pStyle w:val="Heading2"/>
      </w:pPr>
      <w:r>
        <w:t>Coverage Criteria</w:t>
      </w:r>
      <w:r w:rsidR="00D25CC7" w:rsidRPr="003A2009">
        <w:rPr>
          <w:vertAlign w:val="superscript"/>
        </w:rPr>
        <w:t>1-2</w:t>
      </w:r>
    </w:p>
    <w:p w14:paraId="0D2CFF86" w14:textId="2FD41808" w:rsidR="00D25CC7" w:rsidRPr="00D25CC7" w:rsidRDefault="00D25CC7" w:rsidP="00D25CC7">
      <w:pPr>
        <w:pStyle w:val="BodyText"/>
      </w:pPr>
      <w:r w:rsidRPr="00D25CC7">
        <w:t>Authorization of 30 days may be granted to members with a diagnosis of multiple sclerosis if the member has sustained walking impairment (prior to initiating therapy with Ampyra).</w:t>
      </w:r>
    </w:p>
    <w:p w14:paraId="3A643EC3" w14:textId="74A6FF30" w:rsidR="00A501AC" w:rsidRDefault="00A501AC" w:rsidP="003A2009">
      <w:pPr>
        <w:pStyle w:val="Heading2"/>
        <w:tabs>
          <w:tab w:val="left" w:pos="9570"/>
        </w:tabs>
      </w:pPr>
      <w:r w:rsidRPr="00BD1CC1">
        <w:lastRenderedPageBreak/>
        <w:t>Continuation of Therapy</w:t>
      </w:r>
      <w:r w:rsidR="00D25CC7" w:rsidRPr="003A2009">
        <w:rPr>
          <w:vertAlign w:val="superscript"/>
        </w:rPr>
        <w:t>1-</w:t>
      </w:r>
      <w:r w:rsidR="002D0E28">
        <w:rPr>
          <w:vertAlign w:val="superscript"/>
        </w:rPr>
        <w:t>3</w:t>
      </w:r>
    </w:p>
    <w:p w14:paraId="6BB3D901" w14:textId="77777777" w:rsidR="00020E8B" w:rsidRDefault="00D25CC7" w:rsidP="00D25CC7">
      <w:pPr>
        <w:pStyle w:val="BodyText"/>
      </w:pPr>
      <w:r w:rsidRPr="00D25CC7">
        <w:t>Authorization of 12 months may be granted to members with multiple sclerosis if the member has experienced an improvement in walking speed or other objective measure of walking ability since starting Ampyra.</w:t>
      </w:r>
    </w:p>
    <w:p w14:paraId="51214817" w14:textId="77777777" w:rsidR="000A1558" w:rsidRDefault="000A1558" w:rsidP="000A1558">
      <w:pPr>
        <w:pStyle w:val="Heading2"/>
      </w:pPr>
      <w:r w:rsidRPr="000A1558">
        <w:t>References</w:t>
      </w:r>
    </w:p>
    <w:p w14:paraId="2807F10A" w14:textId="77777777" w:rsidR="003A2009" w:rsidRPr="003A2009" w:rsidRDefault="003A2009" w:rsidP="003A2009">
      <w:pPr>
        <w:pStyle w:val="ReferenceOrdered"/>
      </w:pPr>
      <w:r w:rsidRPr="003A2009">
        <w:t>Ampyra [package insert]. Pearl River, NY: Acorda Therapeutics, Inc.; July 2023.</w:t>
      </w:r>
    </w:p>
    <w:p w14:paraId="53B6D47D" w14:textId="77777777" w:rsidR="003A2009" w:rsidRPr="003A2009" w:rsidRDefault="003A2009" w:rsidP="003A2009">
      <w:pPr>
        <w:pStyle w:val="ReferenceOrdered"/>
      </w:pPr>
      <w:r w:rsidRPr="003A2009">
        <w:t>Dalfampridine [package insert]. Somerset, NJ: Micro Labs USA, Inc.; December 2021.</w:t>
      </w:r>
    </w:p>
    <w:p w14:paraId="1BE0C027" w14:textId="66353BFF" w:rsidR="000A1558" w:rsidRPr="00C711A8" w:rsidRDefault="003A2009" w:rsidP="002D0E28">
      <w:pPr>
        <w:pStyle w:val="ReferenceOrdered"/>
      </w:pPr>
      <w:r w:rsidRPr="003A2009">
        <w:t>Goodman AD, Brown TR, Krupp LB, et al. Sustained-release oral fampridine in multiple sclerosis: a randomized, double-blind, controlled trial. Lancet. 2009; 373:732-8.</w:t>
      </w:r>
    </w:p>
    <w:sectPr w:rsidR="000A1558" w:rsidRPr="00C711A8" w:rsidSect="002D0E28">
      <w:type w:val="continuous"/>
      <w:pgSz w:w="12240" w:h="15840" w:code="1"/>
      <w:pgMar w:top="900" w:right="720" w:bottom="990"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8B026" w14:textId="77777777" w:rsidR="00146E80" w:rsidRDefault="00146E80">
      <w:r>
        <w:separator/>
      </w:r>
    </w:p>
  </w:endnote>
  <w:endnote w:type="continuationSeparator" w:id="0">
    <w:p w14:paraId="32E13791" w14:textId="77777777" w:rsidR="00146E80" w:rsidRDefault="00146E80">
      <w:r>
        <w:continuationSeparator/>
      </w:r>
    </w:p>
  </w:endnote>
  <w:endnote w:type="continuationNotice" w:id="1">
    <w:p w14:paraId="596274C5" w14:textId="77777777" w:rsidR="00146E80" w:rsidRDefault="00146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D422E1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D0E28" w:rsidRPr="002D0E28">
      <w:rPr>
        <w:rFonts w:cs="Arial"/>
        <w:noProof/>
        <w:sz w:val="16"/>
        <w:szCs w:val="16"/>
      </w:rPr>
      <w:t>dalfampridine-Ampyra</w:t>
    </w:r>
    <w:r w:rsidR="002D0E28">
      <w:rPr>
        <w:rFonts w:cs="Arial"/>
        <w:noProof/>
        <w:snapToGrid w:val="0"/>
        <w:color w:val="000000"/>
        <w:sz w:val="16"/>
        <w:szCs w:val="16"/>
      </w:rPr>
      <w:t xml:space="preserve"> SGM 1836-A</w:t>
    </w:r>
    <w:r w:rsidR="002D0E28" w:rsidRPr="002D0E28">
      <w:rPr>
        <w:rFonts w:cs="Arial"/>
        <w:noProof/>
        <w:sz w:val="16"/>
        <w:szCs w:val="16"/>
      </w:rPr>
      <w:t xml:space="preserve"> P2024</w:t>
    </w:r>
    <w:r w:rsidR="002D0E28">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0D3306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3ECAEF2" w:rsidR="00F75C81" w:rsidRPr="00AA1E6A" w:rsidRDefault="00C36B72" w:rsidP="006C4ED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AA0FED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A2009" w:rsidRPr="003A2009">
      <w:rPr>
        <w:rFonts w:cs="Arial"/>
        <w:noProof/>
        <w:sz w:val="16"/>
        <w:szCs w:val="16"/>
      </w:rPr>
      <w:t>dalfampridine-Ampyra</w:t>
    </w:r>
    <w:r w:rsidR="003A2009">
      <w:rPr>
        <w:rFonts w:cs="Arial"/>
        <w:noProof/>
        <w:snapToGrid w:val="0"/>
        <w:color w:val="000000"/>
        <w:sz w:val="16"/>
        <w:szCs w:val="16"/>
      </w:rPr>
      <w:t xml:space="preserve"> SGM</w:t>
    </w:r>
    <w:r w:rsidR="003A2009" w:rsidRPr="003A2009">
      <w:rPr>
        <w:rFonts w:cs="Arial"/>
        <w:noProof/>
        <w:sz w:val="16"/>
        <w:szCs w:val="16"/>
      </w:rPr>
      <w:t xml:space="preserve"> </w:t>
    </w:r>
    <w:r w:rsidR="00C53842">
      <w:rPr>
        <w:rFonts w:cs="Arial"/>
        <w:noProof/>
        <w:snapToGrid w:val="0"/>
        <w:color w:val="000000"/>
        <w:sz w:val="16"/>
        <w:szCs w:val="16"/>
      </w:rPr>
      <w:t xml:space="preserve">1836-A </w:t>
    </w:r>
    <w:r w:rsidR="003A2009" w:rsidRPr="003A2009">
      <w:rPr>
        <w:rFonts w:cs="Arial"/>
        <w:noProof/>
        <w:sz w:val="16"/>
        <w:szCs w:val="16"/>
      </w:rPr>
      <w:t>2024</w:t>
    </w:r>
    <w:r w:rsidR="00BD01C7">
      <w:rPr>
        <w:rFonts w:cs="Arial"/>
        <w:noProof/>
        <w:sz w:val="16"/>
        <w:szCs w:val="16"/>
      </w:rPr>
      <w:t>_R</w:t>
    </w:r>
    <w:r w:rsidR="003A2009" w:rsidRPr="003A2009">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1C91F1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B85424A" w:rsidR="00ED04EC" w:rsidRPr="00F50D98" w:rsidRDefault="00F50D98" w:rsidP="006C4ED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470AE" w14:textId="77777777" w:rsidR="00146E80" w:rsidRDefault="00146E80">
      <w:r>
        <w:separator/>
      </w:r>
    </w:p>
  </w:footnote>
  <w:footnote w:type="continuationSeparator" w:id="0">
    <w:p w14:paraId="5CABFE52" w14:textId="77777777" w:rsidR="00146E80" w:rsidRDefault="00146E80">
      <w:r>
        <w:continuationSeparator/>
      </w:r>
    </w:p>
  </w:footnote>
  <w:footnote w:type="continuationNotice" w:id="1">
    <w:p w14:paraId="707E9AD6" w14:textId="77777777" w:rsidR="00146E80" w:rsidRDefault="00146E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3A2009" w:rsidRDefault="00ED04EC" w:rsidP="00ED04EC">
          <w:pPr>
            <w:pStyle w:val="Header"/>
            <w:rPr>
              <w:rFonts w:cs="Arial"/>
              <w:sz w:val="16"/>
              <w:szCs w:val="16"/>
            </w:rPr>
          </w:pPr>
          <w:r w:rsidRPr="003A2009">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E6236F9" w:rsidR="00D25CC7" w:rsidRPr="003A2009" w:rsidRDefault="00D25CC7" w:rsidP="003A2009">
          <w:pPr>
            <w:pStyle w:val="Header"/>
          </w:pPr>
          <w:r w:rsidRPr="003A2009">
            <w:rPr>
              <w:rFonts w:cs="Arial"/>
              <w:sz w:val="16"/>
              <w:szCs w:val="16"/>
            </w:rPr>
            <w:t>1836-A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BC3410"/>
    <w:multiLevelType w:val="hybridMultilevel"/>
    <w:tmpl w:val="CFDA70CC"/>
    <w:lvl w:ilvl="0" w:tplc="B7E6A6E4">
      <w:start w:val="1"/>
      <w:numFmt w:val="decimal"/>
      <w:lvlText w:val="%1."/>
      <w:lvlJc w:val="left"/>
      <w:pPr>
        <w:tabs>
          <w:tab w:val="num" w:pos="1080"/>
        </w:tabs>
        <w:ind w:left="1080" w:hanging="360"/>
      </w:pPr>
      <w:rPr>
        <w:rFonts w:hint="default"/>
        <w:strike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6"/>
  </w:num>
  <w:num w:numId="18" w16cid:durableId="299724409">
    <w:abstractNumId w:val="21"/>
  </w:num>
  <w:num w:numId="19" w16cid:durableId="214585573">
    <w:abstractNumId w:val="14"/>
  </w:num>
  <w:num w:numId="20" w16cid:durableId="1289816170">
    <w:abstractNumId w:val="15"/>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1215580704">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E8B"/>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558"/>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46E80"/>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8C3"/>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3EBB"/>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0E28"/>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09"/>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094"/>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605"/>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41B"/>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1F5F"/>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4ED2"/>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0554"/>
    <w:rsid w:val="007710F2"/>
    <w:rsid w:val="007716E9"/>
    <w:rsid w:val="00773060"/>
    <w:rsid w:val="00773513"/>
    <w:rsid w:val="0077365E"/>
    <w:rsid w:val="007741BD"/>
    <w:rsid w:val="0077473F"/>
    <w:rsid w:val="00775C9E"/>
    <w:rsid w:val="007767B9"/>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4ECA"/>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3A5"/>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971"/>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1C7"/>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3D5A"/>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15"/>
    <w:rsid w:val="00C50446"/>
    <w:rsid w:val="00C511E1"/>
    <w:rsid w:val="00C51255"/>
    <w:rsid w:val="00C52389"/>
    <w:rsid w:val="00C53013"/>
    <w:rsid w:val="00C53842"/>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1A8"/>
    <w:rsid w:val="00C72424"/>
    <w:rsid w:val="00C73E8B"/>
    <w:rsid w:val="00C74CD4"/>
    <w:rsid w:val="00C74F5C"/>
    <w:rsid w:val="00C75C02"/>
    <w:rsid w:val="00C76BFE"/>
    <w:rsid w:val="00C77681"/>
    <w:rsid w:val="00C77D90"/>
    <w:rsid w:val="00C808F0"/>
    <w:rsid w:val="00C809E5"/>
    <w:rsid w:val="00C82FE4"/>
    <w:rsid w:val="00C846AC"/>
    <w:rsid w:val="00C8494C"/>
    <w:rsid w:val="00C85BB7"/>
    <w:rsid w:val="00C86B76"/>
    <w:rsid w:val="00C86EE2"/>
    <w:rsid w:val="00C87920"/>
    <w:rsid w:val="00C87C25"/>
    <w:rsid w:val="00C87D04"/>
    <w:rsid w:val="00C903CD"/>
    <w:rsid w:val="00C9046D"/>
    <w:rsid w:val="00C904DC"/>
    <w:rsid w:val="00C9304D"/>
    <w:rsid w:val="00C93060"/>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5CC7"/>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C54"/>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50D"/>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1982"/>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36"/>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2F8E"/>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69086431">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purl.org/dc/terms/"/>
    <ds:schemaRef ds:uri="ce173f13-e3a2-4c5f-8c54-d0382ae88016"/>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102fadf2-6cae-45bc-95f6-bc2613b98572"/>
    <ds:schemaRef ds:uri="http://www.w3.org/XML/1998/namespace"/>
    <ds:schemaRef ds:uri="http://purl.org/dc/dcmitype/"/>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1F09160B-9507-40F5-98CA-2A3C74BF7A7C}"/>
</file>

<file path=docProps/app.xml><?xml version="1.0" encoding="utf-8"?>
<Properties xmlns="http://schemas.openxmlformats.org/officeDocument/2006/extended-properties" xmlns:vt="http://schemas.openxmlformats.org/officeDocument/2006/docPropsVTypes">
  <Template>Normal.dotm</Template>
  <TotalTime>3</TotalTime>
  <Pages>2</Pages>
  <Words>237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dalfampridine-Ampyra 1836-A SGM 2024</dc:title>
  <dc:subject/>
  <dc:creator>CVS Caremark</dc:creator>
  <cp:keywords/>
  <cp:lastModifiedBy>Clark, Shannon I</cp:lastModifiedBy>
  <cp:revision>3</cp:revision>
  <cp:lastPrinted>2018-01-09T05:01:00Z</cp:lastPrinted>
  <dcterms:created xsi:type="dcterms:W3CDTF">2024-12-31T02:10:00Z</dcterms:created>
  <dcterms:modified xsi:type="dcterms:W3CDTF">2024-12-31T02:13:00Z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1085200</vt:r8>
  </property>
</Properties>
</file>